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sz w:val="30"/>
          <w:szCs w:val="30"/>
        </w:rPr>
      </w:pPr>
      <w:r>
        <w:rPr>
          <w:rFonts w:hint="eastAsia"/>
          <w:sz w:val="30"/>
          <w:szCs w:val="30"/>
        </w:rPr>
        <w:t>复旦大学管理学院李达三楼2楼报告厅布展须知</w:t>
      </w:r>
    </w:p>
    <w:p>
      <w:pPr>
        <w:rPr>
          <w:rFonts w:hint="eastAsia"/>
        </w:rPr>
      </w:pPr>
    </w:p>
    <w:p>
      <w:pPr>
        <w:pStyle w:val="4"/>
        <w:widowControl w:val="0"/>
        <w:numPr>
          <w:ilvl w:val="0"/>
          <w:numId w:val="1"/>
        </w:numPr>
        <w:wordWrap/>
        <w:adjustRightInd/>
        <w:snapToGrid/>
        <w:spacing w:line="400" w:lineRule="exact"/>
        <w:ind w:right="0" w:firstLineChars="0"/>
        <w:jc w:val="both"/>
        <w:textAlignment w:val="auto"/>
        <w:outlineLvl w:val="9"/>
        <w:rPr>
          <w:rFonts w:hint="eastAsia"/>
          <w:sz w:val="24"/>
          <w:szCs w:val="24"/>
        </w:rPr>
      </w:pPr>
      <w:r>
        <w:rPr>
          <w:rFonts w:hint="eastAsia"/>
          <w:sz w:val="24"/>
          <w:szCs w:val="24"/>
        </w:rPr>
        <w:t>布展/搭台材料的选用要符合国家有关部门关于临时性建筑材料用法标准并结合报告厅的特点合理选材，选材时要符合国家环保要求。报告厅内使用布展材料必须是阻燃材料、非易燃材料或已经阻燃处理的材料。</w:t>
      </w:r>
    </w:p>
    <w:p>
      <w:pPr>
        <w:pStyle w:val="4"/>
        <w:widowControl w:val="0"/>
        <w:numPr>
          <w:ilvl w:val="0"/>
          <w:numId w:val="1"/>
        </w:numPr>
        <w:wordWrap/>
        <w:adjustRightInd/>
        <w:snapToGrid/>
        <w:spacing w:line="400" w:lineRule="exact"/>
        <w:ind w:right="0" w:firstLineChars="0"/>
        <w:jc w:val="both"/>
        <w:textAlignment w:val="auto"/>
        <w:outlineLvl w:val="9"/>
        <w:rPr>
          <w:rFonts w:hint="eastAsia"/>
          <w:sz w:val="24"/>
          <w:szCs w:val="24"/>
        </w:rPr>
      </w:pPr>
      <w:r>
        <w:rPr>
          <w:rFonts w:hint="eastAsia"/>
          <w:sz w:val="24"/>
          <w:szCs w:val="24"/>
        </w:rPr>
        <w:t>严禁易燃易爆和腐蚀性物质进入报告厅施工。</w:t>
      </w:r>
    </w:p>
    <w:p>
      <w:pPr>
        <w:pStyle w:val="4"/>
        <w:widowControl w:val="0"/>
        <w:numPr>
          <w:ilvl w:val="0"/>
          <w:numId w:val="1"/>
        </w:numPr>
        <w:wordWrap/>
        <w:adjustRightInd/>
        <w:snapToGrid/>
        <w:spacing w:line="400" w:lineRule="exact"/>
        <w:ind w:right="0" w:firstLineChars="0"/>
        <w:jc w:val="both"/>
        <w:textAlignment w:val="auto"/>
        <w:outlineLvl w:val="9"/>
        <w:rPr>
          <w:rFonts w:hint="eastAsia"/>
          <w:sz w:val="24"/>
          <w:szCs w:val="24"/>
        </w:rPr>
      </w:pPr>
      <w:r>
        <w:rPr>
          <w:rFonts w:hint="eastAsia"/>
          <w:sz w:val="24"/>
          <w:szCs w:val="24"/>
        </w:rPr>
        <w:t>舞台需搭建背景板的，施工过程中必须使用</w:t>
      </w:r>
      <w:r>
        <w:rPr>
          <w:rFonts w:hint="eastAsia"/>
          <w:sz w:val="24"/>
          <w:szCs w:val="24"/>
          <w:lang w:eastAsia="zh-CN"/>
        </w:rPr>
        <w:t>学院提供的</w:t>
      </w:r>
      <w:r>
        <w:rPr>
          <w:rFonts w:hint="eastAsia"/>
          <w:sz w:val="24"/>
          <w:szCs w:val="24"/>
        </w:rPr>
        <w:t>桁架，并采取地面保护措施（如铺设地毯等），严禁桁架及布展中所使用的坚硬、锐利材料、物品直接接触舞台地面。</w:t>
      </w:r>
    </w:p>
    <w:p>
      <w:pPr>
        <w:pStyle w:val="4"/>
        <w:widowControl w:val="0"/>
        <w:numPr>
          <w:ilvl w:val="0"/>
          <w:numId w:val="1"/>
        </w:numPr>
        <w:wordWrap/>
        <w:adjustRightInd/>
        <w:snapToGrid/>
        <w:spacing w:line="400" w:lineRule="exact"/>
        <w:ind w:right="0" w:firstLineChars="0"/>
        <w:jc w:val="both"/>
        <w:textAlignment w:val="auto"/>
        <w:outlineLvl w:val="9"/>
        <w:rPr>
          <w:rFonts w:hint="eastAsia"/>
          <w:sz w:val="24"/>
          <w:szCs w:val="24"/>
        </w:rPr>
      </w:pPr>
      <w:r>
        <w:rPr>
          <w:rFonts w:hint="eastAsia"/>
          <w:sz w:val="24"/>
          <w:szCs w:val="24"/>
        </w:rPr>
        <w:t>严禁在报告厅内使用电焊、气焊、电锯等加工作业工具。</w:t>
      </w:r>
    </w:p>
    <w:p>
      <w:pPr>
        <w:pStyle w:val="4"/>
        <w:widowControl w:val="0"/>
        <w:numPr>
          <w:ilvl w:val="0"/>
          <w:numId w:val="1"/>
        </w:numPr>
        <w:wordWrap/>
        <w:adjustRightInd/>
        <w:snapToGrid/>
        <w:spacing w:line="400" w:lineRule="exact"/>
        <w:ind w:right="0" w:firstLineChars="0"/>
        <w:jc w:val="both"/>
        <w:textAlignment w:val="auto"/>
        <w:outlineLvl w:val="9"/>
        <w:rPr>
          <w:rFonts w:hint="eastAsia"/>
          <w:sz w:val="24"/>
          <w:szCs w:val="24"/>
        </w:rPr>
      </w:pPr>
      <w:r>
        <w:rPr>
          <w:rFonts w:hint="eastAsia"/>
          <w:sz w:val="24"/>
          <w:szCs w:val="24"/>
        </w:rPr>
        <w:t>不得在报告厅内部（舞台背景、座椅）使用有粘性（可粘性）的示意图或宣传品，不得在地面、柱面、墙面上使用黏胶物。</w:t>
      </w:r>
    </w:p>
    <w:p>
      <w:pPr>
        <w:pStyle w:val="4"/>
        <w:widowControl w:val="0"/>
        <w:numPr>
          <w:ilvl w:val="0"/>
          <w:numId w:val="1"/>
        </w:numPr>
        <w:wordWrap/>
        <w:adjustRightInd/>
        <w:snapToGrid/>
        <w:spacing w:line="400" w:lineRule="exact"/>
        <w:ind w:right="0" w:firstLineChars="0"/>
        <w:jc w:val="both"/>
        <w:textAlignment w:val="auto"/>
        <w:outlineLvl w:val="9"/>
        <w:rPr>
          <w:rFonts w:hint="eastAsia"/>
          <w:sz w:val="24"/>
          <w:szCs w:val="24"/>
        </w:rPr>
      </w:pPr>
      <w:r>
        <w:rPr>
          <w:rFonts w:hint="eastAsia"/>
          <w:sz w:val="24"/>
          <w:szCs w:val="24"/>
        </w:rPr>
        <w:t>不得在报告厅内部使用钉子、图钉、螺丝、油漆、涂料或其他类似材料。</w:t>
      </w:r>
    </w:p>
    <w:p>
      <w:pPr>
        <w:pStyle w:val="4"/>
        <w:widowControl w:val="0"/>
        <w:numPr>
          <w:ilvl w:val="0"/>
          <w:numId w:val="1"/>
        </w:numPr>
        <w:wordWrap/>
        <w:adjustRightInd/>
        <w:snapToGrid/>
        <w:spacing w:line="400" w:lineRule="exact"/>
        <w:ind w:right="0" w:firstLineChars="0"/>
        <w:jc w:val="both"/>
        <w:textAlignment w:val="auto"/>
        <w:outlineLvl w:val="9"/>
        <w:rPr>
          <w:rFonts w:hint="eastAsia"/>
          <w:sz w:val="24"/>
          <w:szCs w:val="24"/>
        </w:rPr>
      </w:pPr>
      <w:r>
        <w:rPr>
          <w:rFonts w:hint="eastAsia"/>
          <w:sz w:val="24"/>
          <w:szCs w:val="24"/>
        </w:rPr>
        <w:t>布展所产生的垃圾应及时清理，并放置到指定位置。</w:t>
      </w:r>
    </w:p>
    <w:p>
      <w:pPr>
        <w:pStyle w:val="4"/>
        <w:widowControl w:val="0"/>
        <w:numPr>
          <w:ilvl w:val="0"/>
          <w:numId w:val="1"/>
        </w:numPr>
        <w:wordWrap/>
        <w:adjustRightInd/>
        <w:snapToGrid/>
        <w:spacing w:line="400" w:lineRule="exact"/>
        <w:ind w:right="0" w:firstLineChars="0"/>
        <w:jc w:val="both"/>
        <w:textAlignment w:val="auto"/>
        <w:outlineLvl w:val="9"/>
        <w:rPr>
          <w:rFonts w:hint="eastAsia"/>
          <w:sz w:val="24"/>
          <w:szCs w:val="24"/>
        </w:rPr>
      </w:pPr>
      <w:r>
        <w:rPr>
          <w:rFonts w:hint="eastAsia"/>
          <w:sz w:val="24"/>
          <w:szCs w:val="24"/>
        </w:rPr>
        <w:t>相关宣传品设置地点，请以2楼报告厅区域为限，如需使用其他空间，需另行办理相关手续。</w:t>
      </w:r>
    </w:p>
    <w:p>
      <w:pPr>
        <w:pStyle w:val="4"/>
        <w:widowControl w:val="0"/>
        <w:numPr>
          <w:ilvl w:val="0"/>
          <w:numId w:val="1"/>
        </w:numPr>
        <w:wordWrap/>
        <w:adjustRightInd/>
        <w:snapToGrid/>
        <w:spacing w:line="400" w:lineRule="exact"/>
        <w:ind w:right="0" w:firstLineChars="0"/>
        <w:jc w:val="both"/>
        <w:textAlignment w:val="auto"/>
        <w:outlineLvl w:val="9"/>
        <w:rPr>
          <w:rFonts w:hint="eastAsia"/>
          <w:sz w:val="24"/>
          <w:szCs w:val="24"/>
        </w:rPr>
      </w:pPr>
      <w:r>
        <w:rPr>
          <w:rFonts w:hint="eastAsia"/>
          <w:sz w:val="24"/>
          <w:szCs w:val="24"/>
        </w:rPr>
        <w:t>宣传物品如有质量不佳或破损，影响学院形象、观众进出场或未事先申请或未经</w:t>
      </w:r>
      <w:r>
        <w:rPr>
          <w:rFonts w:hint="eastAsia"/>
          <w:sz w:val="24"/>
          <w:szCs w:val="24"/>
          <w:lang w:eastAsia="zh-CN"/>
        </w:rPr>
        <w:t>采购与后勤</w:t>
      </w:r>
      <w:r>
        <w:rPr>
          <w:rFonts w:hint="eastAsia"/>
          <w:sz w:val="24"/>
          <w:szCs w:val="24"/>
        </w:rPr>
        <w:t>保障中心同意的布展，</w:t>
      </w:r>
      <w:r>
        <w:rPr>
          <w:rFonts w:hint="eastAsia"/>
          <w:sz w:val="24"/>
          <w:szCs w:val="24"/>
          <w:lang w:eastAsia="zh-CN"/>
        </w:rPr>
        <w:t>采购与后勤</w:t>
      </w:r>
      <w:r>
        <w:rPr>
          <w:rFonts w:hint="eastAsia"/>
          <w:sz w:val="24"/>
          <w:szCs w:val="24"/>
        </w:rPr>
        <w:t>保障中心有权要求布展单位移除。</w:t>
      </w:r>
    </w:p>
    <w:p>
      <w:pPr>
        <w:widowControl w:val="0"/>
        <w:wordWrap/>
        <w:adjustRightInd/>
        <w:snapToGrid/>
        <w:spacing w:line="400" w:lineRule="exact"/>
        <w:ind w:left="420" w:right="0" w:hanging="420" w:hangingChars="200"/>
        <w:jc w:val="both"/>
        <w:textAlignment w:val="auto"/>
        <w:outlineLvl w:val="9"/>
        <w:rPr>
          <w:rFonts w:hint="eastAsia"/>
          <w:sz w:val="24"/>
          <w:szCs w:val="24"/>
        </w:rPr>
      </w:pPr>
      <w:r>
        <w:rPr>
          <w:rFonts w:hint="eastAsia"/>
          <w:sz w:val="24"/>
          <w:szCs w:val="24"/>
        </w:rPr>
        <w:t>10、所有布展物料应在活动结束后</w:t>
      </w:r>
      <w:r>
        <w:rPr>
          <w:rFonts w:hint="eastAsia"/>
          <w:sz w:val="24"/>
          <w:szCs w:val="24"/>
          <w:lang w:eastAsia="zh-CN"/>
        </w:rPr>
        <w:t>当天</w:t>
      </w:r>
      <w:r>
        <w:rPr>
          <w:rFonts w:hint="eastAsia"/>
          <w:sz w:val="24"/>
          <w:szCs w:val="24"/>
        </w:rPr>
        <w:t>23:30分前撤离完毕并恢复原貌。如有</w:t>
      </w:r>
      <w:r>
        <w:rPr>
          <w:rFonts w:hint="eastAsia"/>
          <w:sz w:val="24"/>
          <w:szCs w:val="24"/>
          <w:lang w:eastAsia="zh-CN"/>
        </w:rPr>
        <w:t>损坏</w:t>
      </w:r>
      <w:r>
        <w:rPr>
          <w:rFonts w:hint="eastAsia"/>
          <w:sz w:val="24"/>
          <w:szCs w:val="24"/>
        </w:rPr>
        <w:t>，</w:t>
      </w:r>
      <w:r>
        <w:rPr>
          <w:rFonts w:hint="eastAsia"/>
          <w:sz w:val="24"/>
          <w:szCs w:val="24"/>
          <w:lang w:eastAsia="zh-CN"/>
        </w:rPr>
        <w:t>使用方需</w:t>
      </w:r>
      <w:r>
        <w:rPr>
          <w:rFonts w:hint="eastAsia"/>
          <w:sz w:val="24"/>
          <w:szCs w:val="24"/>
        </w:rPr>
        <w:t>承担人民币伍万元整。</w:t>
      </w:r>
    </w:p>
    <w:p>
      <w:pPr>
        <w:rPr>
          <w:rFonts w:hint="eastAsia"/>
        </w:rPr>
      </w:pPr>
    </w:p>
    <w:p>
      <w:pPr>
        <w:rPr>
          <w:rFonts w:hint="eastAsia"/>
        </w:rPr>
      </w:pPr>
    </w:p>
    <w:p>
      <w:pPr>
        <w:rPr>
          <w:rFonts w:hint="eastAsia"/>
        </w:rPr>
      </w:pPr>
    </w:p>
    <w:p>
      <w:pPr>
        <w:rPr>
          <w:rFonts w:hint="eastAsia"/>
        </w:rPr>
      </w:pPr>
    </w:p>
    <w:p>
      <w:pPr>
        <w:rPr>
          <w:rFonts w:hint="eastAsia"/>
          <w:sz w:val="24"/>
          <w:szCs w:val="24"/>
        </w:rPr>
      </w:pPr>
      <w:r>
        <w:rPr>
          <w:rFonts w:hint="eastAsia"/>
          <w:sz w:val="24"/>
          <w:szCs w:val="24"/>
        </w:rPr>
        <w:t>使用部门：</w:t>
      </w:r>
    </w:p>
    <w:p>
      <w:pPr>
        <w:rPr>
          <w:rFonts w:hint="eastAsia"/>
          <w:sz w:val="24"/>
          <w:szCs w:val="24"/>
          <w:lang w:val="en-US" w:eastAsia="zh-CN"/>
        </w:rPr>
      </w:pPr>
      <w:r>
        <w:rPr>
          <w:rFonts w:hint="eastAsia"/>
          <w:sz w:val="24"/>
          <w:szCs w:val="24"/>
          <w:lang w:val="en-US" w:eastAsia="zh-CN"/>
        </w:rPr>
        <w:t>使用时间：</w:t>
      </w:r>
    </w:p>
    <w:p>
      <w:pPr>
        <w:rPr>
          <w:rFonts w:hint="eastAsia"/>
          <w:sz w:val="24"/>
          <w:szCs w:val="24"/>
          <w:lang w:val="en-US" w:eastAsia="zh-CN"/>
        </w:rPr>
      </w:pPr>
      <w:r>
        <w:rPr>
          <w:rFonts w:hint="eastAsia"/>
          <w:sz w:val="24"/>
          <w:szCs w:val="24"/>
          <w:lang w:val="en-US" w:eastAsia="zh-CN"/>
        </w:rPr>
        <w:t>用途：</w:t>
      </w:r>
    </w:p>
    <w:p>
      <w:pPr>
        <w:rPr>
          <w:rFonts w:hint="eastAsia"/>
          <w:sz w:val="24"/>
          <w:szCs w:val="24"/>
        </w:rPr>
      </w:pPr>
      <w:r>
        <w:rPr>
          <w:rFonts w:hint="eastAsia"/>
          <w:sz w:val="24"/>
          <w:szCs w:val="24"/>
        </w:rPr>
        <w:t>联系人：</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bookmarkStart w:id="0" w:name="_GoBack"/>
      <w:bookmarkEnd w:id="0"/>
    </w:p>
    <w:p>
      <w:pPr>
        <w:rPr>
          <w:rFonts w:hint="eastAsia"/>
          <w:sz w:val="24"/>
          <w:szCs w:val="24"/>
          <w:lang w:eastAsia="zh-CN"/>
        </w:rPr>
      </w:pPr>
      <w:r>
        <w:rPr>
          <w:rFonts w:hint="eastAsia"/>
          <w:sz w:val="24"/>
          <w:szCs w:val="24"/>
          <w:lang w:eastAsia="zh-CN"/>
        </w:rPr>
        <w:t>布展单位：</w:t>
      </w:r>
    </w:p>
    <w:p>
      <w:pPr>
        <w:rPr>
          <w:rFonts w:hint="eastAsia"/>
          <w:sz w:val="24"/>
          <w:szCs w:val="24"/>
          <w:lang w:eastAsia="zh-CN"/>
        </w:rPr>
      </w:pPr>
      <w:r>
        <w:rPr>
          <w:rFonts w:hint="eastAsia"/>
          <w:sz w:val="24"/>
          <w:szCs w:val="24"/>
          <w:lang w:eastAsia="zh-CN"/>
        </w:rPr>
        <w:t>联系人：</w:t>
      </w:r>
    </w:p>
    <w:p>
      <w:pPr>
        <w:rPr>
          <w:rFonts w:hint="eastAsia"/>
          <w:sz w:val="24"/>
          <w:szCs w:val="24"/>
        </w:rPr>
      </w:pPr>
    </w:p>
    <w:p>
      <w:pPr>
        <w:rPr>
          <w:rFonts w:hint="eastAsia"/>
          <w:sz w:val="24"/>
          <w:szCs w:val="24"/>
        </w:rPr>
      </w:pPr>
    </w:p>
    <w:p>
      <w:pPr>
        <w:rPr>
          <w:rFonts w:hint="eastAsia"/>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12784769">
    <w:nsid w:val="24865A81"/>
    <w:multiLevelType w:val="multilevel"/>
    <w:tmpl w:val="24865A81"/>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6127847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84C2A"/>
    <w:rsid w:val="002B485F"/>
    <w:rsid w:val="00612690"/>
    <w:rsid w:val="00652AB2"/>
    <w:rsid w:val="006E3A3E"/>
    <w:rsid w:val="00F70AA7"/>
    <w:rsid w:val="00F84C2A"/>
    <w:rsid w:val="00FA3795"/>
    <w:rsid w:val="06CA1CAF"/>
    <w:rsid w:val="229F5759"/>
    <w:rsid w:val="247456DF"/>
    <w:rsid w:val="40C06849"/>
    <w:rsid w:val="5D7F5231"/>
    <w:rsid w:val="6DE81198"/>
    <w:rsid w:val="73F01A7D"/>
    <w:rsid w:val="7A4C1DED"/>
    <w:rsid w:val="7AB03A5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Style w:val="3"/>
      <w:tblLayout w:type="fixed"/>
      <w:tblCellMar>
        <w:top w:w="0" w:type="dxa"/>
        <w:left w:w="108" w:type="dxa"/>
        <w:bottom w:w="0" w:type="dxa"/>
        <w:right w:w="108" w:type="dxa"/>
      </w:tblCellMar>
    </w:tblPr>
    <w:tcPr>
      <w:textDirection w:val="lrTb"/>
    </w:tc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fuda</Company>
  <Pages>1</Pages>
  <Words>78</Words>
  <Characters>451</Characters>
  <Lines>3</Lines>
  <Paragraphs>1</Paragraphs>
  <ScaleCrop>false</ScaleCrop>
  <LinksUpToDate>false</LinksUpToDate>
  <CharactersWithSpaces>0</CharactersWithSpaces>
  <Application>WPS Office 个人版_9.1.0.4985_{F1E327BC-269C-435d-A152-05C5408002CA}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2015-03-11T06:23:00Z</dcterms:created>
  <dc:creator>admin</dc:creator>
  <cp:lastModifiedBy>admin</cp:lastModifiedBy>
  <cp:lastPrinted>2015-03-11T07:05:00Z</cp:lastPrinted>
  <dcterms:modified xsi:type="dcterms:W3CDTF">2015-03-12T05:07:11Z</dcterms:modified>
  <dc:title>复旦大学管理学院李达三楼2楼报告厅布展须知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